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2CC" w:rsidRDefault="001A550C">
      <w:r>
        <w:rPr>
          <w:noProof/>
          <w:lang w:eastAsia="ru-RU"/>
        </w:rPr>
        <w:drawing>
          <wp:inline distT="0" distB="0" distL="0" distR="0">
            <wp:extent cx="9496425" cy="58293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B2634" w:rsidRDefault="007B2634">
      <w:r>
        <w:rPr>
          <w:noProof/>
          <w:lang w:eastAsia="ru-RU"/>
        </w:rPr>
        <w:lastRenderedPageBreak/>
        <w:drawing>
          <wp:inline distT="0" distB="0" distL="0" distR="0">
            <wp:extent cx="9429750" cy="54197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D43E5" w:rsidRDefault="00AD43E5"/>
    <w:p w:rsidR="00AD43E5" w:rsidRDefault="00AD43E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9467850" cy="5553075"/>
            <wp:effectExtent l="19050" t="0" r="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sectPr w:rsidR="00AD43E5" w:rsidSect="001A55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0B9"/>
    <w:rsid w:val="001A550C"/>
    <w:rsid w:val="004258E2"/>
    <w:rsid w:val="005D60B9"/>
    <w:rsid w:val="007B2634"/>
    <w:rsid w:val="00991321"/>
    <w:rsid w:val="00AD43E5"/>
    <w:rsid w:val="00BD2D68"/>
    <w:rsid w:val="00DB02CC"/>
    <w:rsid w:val="00E2761E"/>
    <w:rsid w:val="00EE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B8A01-5532-4070-80F3-A5CB25F8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5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2000">
                <a:latin typeface="Times New Roman" panose="02020603050405020304" pitchFamily="18" charset="0"/>
                <a:cs typeface="Times New Roman" panose="02020603050405020304" pitchFamily="18" charset="0"/>
              </a:rPr>
              <a:t>Исполнение Плана ВККР АО на 2021 год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9610379695516999E-2"/>
          <c:y val="0.14276945773935124"/>
          <c:w val="0.60001558481217931"/>
          <c:h val="0.7704523699243477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План ВККР АО на 2021 год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1.1025096286234029E-2"/>
                  <c:y val="-9.25479903247388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4100859007468601E-2"/>
                  <c:y val="-2.87425591408917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2365863996188038E-3"/>
                  <c:y val="-8.3799083938037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4.8623139760488814E-2"/>
                  <c:y val="-0.437584615648534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Исключены в связи с прекращением деятельности</c:v>
                </c:pt>
                <c:pt idx="1">
                  <c:v>Не осуществляют аудит ОЗХС</c:v>
                </c:pt>
                <c:pt idx="2">
                  <c:v>Нарушений не выявлено</c:v>
                </c:pt>
                <c:pt idx="3">
                  <c:v>Вывлены нарушения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1</c:v>
                </c:pt>
                <c:pt idx="3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0167031277559713"/>
          <c:y val="0.23033039987648607"/>
          <c:w val="0.3903056150077529"/>
          <c:h val="0.56918669480040474"/>
        </c:manualLayout>
      </c:layout>
      <c:overlay val="0"/>
      <c:txPr>
        <a:bodyPr/>
        <a:lstStyle/>
        <a:p>
          <a:pPr>
            <a:defRPr sz="14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2000">
                <a:latin typeface="Times New Roman" panose="02020603050405020304" pitchFamily="18" charset="0"/>
                <a:cs typeface="Times New Roman" panose="02020603050405020304" pitchFamily="18" charset="0"/>
              </a:rPr>
              <a:t>По результатам проверок выявлено 1632 нарушения, из них: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6753254328057479E-2"/>
          <c:y val="0.10711410634303399"/>
          <c:w val="0.54431029454651503"/>
          <c:h val="0.7599370816784984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выявлено 1632 нарушения, из них: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3.0442376521116678E-2"/>
                  <c:y val="-0.480479544626341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1870569209151886E-2"/>
                  <c:y val="-1.38604818510164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8405680059223364E-3"/>
                  <c:y val="-3.867888400070987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9.2850124503667808E-3"/>
                  <c:y val="3.8477129860546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7231307625008411E-2"/>
                  <c:y val="2.054903279438824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Нарушение требований МСА</c:v>
                </c:pt>
                <c:pt idx="1">
                  <c:v>Нарушение требований Федерального закона "Об аудиторской деятельности"</c:v>
                </c:pt>
                <c:pt idx="2">
                  <c:v>Нарушение требований Кодекса профессиональной этики аудиторов</c:v>
                </c:pt>
                <c:pt idx="3">
                  <c:v>Нарушение требований Правил независимости аудиторов и аудиторских организаций</c:v>
                </c:pt>
                <c:pt idx="4">
                  <c:v>Нарушения в сфере ПОД/ФТ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1420</c:v>
                </c:pt>
                <c:pt idx="1">
                  <c:v>79</c:v>
                </c:pt>
                <c:pt idx="2">
                  <c:v>69</c:v>
                </c:pt>
                <c:pt idx="3">
                  <c:v>7</c:v>
                </c:pt>
                <c:pt idx="4">
                  <c:v>57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55896158434741117"/>
          <c:y val="0.14571606492949365"/>
          <c:w val="0.43295760757178081"/>
          <c:h val="0.76709150372020707"/>
        </c:manualLayout>
      </c:layout>
      <c:overlay val="0"/>
      <c:txPr>
        <a:bodyPr/>
        <a:lstStyle/>
        <a:p>
          <a:pPr>
            <a:defRPr sz="14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/>
              <a:t>По итогам 2021 года в отношении аудиторских организаций вынесено 18 решений о применении мер воздействия, из них: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4084507042253521E-2"/>
          <c:y val="0.14629786199538095"/>
          <c:w val="0.56338028169014087"/>
          <c:h val="0.743882263430621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итогам 2021 года в отношении аудиторских организаций вынесено 19 решений о применении мер воздействия, из них: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2417629134386371"/>
                  <c:y val="-0.2563851559721415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3579851814297856E-4"/>
                  <c:y val="2.74154409944040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0446141415421662E-3"/>
                  <c:y val="-3.32927252018026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409744556578315E-2"/>
                  <c:y val="-8.76127190790688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Предписание об устранении нарушений</c:v>
                </c:pt>
                <c:pt idx="1">
                  <c:v>Приостановление членства в реестре аудиторов и аудиторских организаций СРО ААС</c:v>
                </c:pt>
                <c:pt idx="2">
                  <c:v>Предупреждение о недопустимости нарушений</c:v>
                </c:pt>
                <c:pt idx="3">
                  <c:v>Предписание об исключении сведений об аудиторской организации из реестра аудиторов и аудиторских организаций СРО ААС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2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2529243703691972"/>
          <c:y val="0.18918311025873055"/>
          <c:w val="0.3666592732246497"/>
          <c:h val="0.70394367084903409"/>
        </c:manualLayout>
      </c:layout>
      <c:overlay val="0"/>
      <c:txPr>
        <a:bodyPr/>
        <a:lstStyle/>
        <a:p>
          <a:pPr>
            <a:defRPr sz="14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Курлюк Анна Вячеславовна</dc:creator>
  <cp:keywords/>
  <dc:description/>
  <cp:lastModifiedBy>Белкина Нелли Николаевна</cp:lastModifiedBy>
  <cp:revision>5</cp:revision>
  <dcterms:created xsi:type="dcterms:W3CDTF">2021-12-28T05:37:00Z</dcterms:created>
  <dcterms:modified xsi:type="dcterms:W3CDTF">2022-02-11T11:53:00Z</dcterms:modified>
</cp:coreProperties>
</file>